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2012 46 vom 27. März 2012</w:t>
      </w:r>
    </w:p>
    <w:p>
      <w:r>
        <w:t>BL Gerichte, 2012-03-27, DE</w:t>
      </w:r>
    </w:p>
    <w:p>
      <w:r>
        <w:rPr>
          <w:b/>
        </w:rPr>
        <w:t xml:space="preserve">Quelle: </w:t>
      </w:r>
      <w:r>
        <w:t>https://mcp.opencaselaw.ch/entscheid/bl_gerichte_420 2012 46</w:t>
      </w:r>
    </w:p>
    <w:p>
      <w:r>
        <w:t>FR: BL_GERICHTE 420 2012 46 du 27 mars 2012</w:t>
      </w:r>
    </w:p>
    <w:p>
      <w:r>
        <w:t>IT: BL_GERICHTE 420 2012 46 del 27 marzo 2012</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Der Schuldner, der den Pfändungsvollzug anfechten will, hat innert zehn Tagen Beschwerde zu erheben. Im vorliegenden Fall hat das Betreibungsamt Waldenburg die Pfändung am 7. Februar 2012 in Abwesenheit des Schuldners vollzogen. Die massgebliche Verfügung datiert vom 7. Februar 2012. Die Beschwerde des Schuldners, welche am 14. Februar 2012 der Post übergeben wurde, ist rechtzeitig erfolgt. Die sachliche Zuständigkeit der Dreier-kammer der Abteilung Zivilrecht des Kantonsgerichts zur Behandlung der Angelegenheit ergibt sich aus § 6 Abs. 1 lit. b EG SchKG. Der Beschwerdeführer rügt insofern eine falsche Feststellung des Sachverhalts, als dass er geltend macht, verschiedene für das Existenzminimum massgebliche Ausgabepositionen seien vom Betreibungsamt nicht berücksichtigt worden. Damit sind die Anforderungen an eine zumindest summarische Beschwerdebegründung erfüllt. Ferner hat sich der Beschwerdeführer damit auf einen zulässigen Beschwerdegrund berufen. Auf die Beschwerde ist deshalb einzutreten. 2.1 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als administrative Aufsichtsbehörde über die Betreibungs- und Konkursämter im Sinne von § 6 Abs. 2 EG SchKG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 Bühler , Betreibungs- und prozessrechtliches Existenzminimum, in: AJP 2002, S. 647; BGE 121 III 20 E. 3a, 112 III 19 E. 4).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 Die Ermittlungspflicht des Betreibungsbeamten bedeutet jedoch nicht, dass der Schuldner hier von jeder Mitwirkungspflicht befreit ist. Es obliegt ihm im Gegenteil, die Behörde über die wesentlichen Tatsachen zu unterrichten und die ihm zugänglichen Beweise anzugeben (BGE 119 III 70). 2.2 Der Beschwerdeführer moniert zunächst, dass Gebäudeversicherungsprämien bei der Berechnung des Existenzminimums durch das Betreibungsamt unberechtigter Weise aussen vor geblieben seien. Der Beschwerdeführer legte eine Rechnung sowie eine Mahnung der Basellandschaftlichen Gebäudeversicherung ins Recht. Diese Unterlagen vermögen im Lichte des Effektivitätsgrundsatzes jedoch keinen hinreichenden Nachweis dafür erbringen, dass Zahlungen auch tatsächlich erfolgt sind. Aus den beigelegten Dokumenten lässt sich lediglich entnehmen, dass eine Forderung gegenüber dem Beschwerdeführer besteht, nicht aber ob diese auch regelmässig befriedigt wird. Das Betreibungsamt hat somit zu Recht diese angebliche Ausgabeposition nicht in seine Erwägungen aufgenommen. 2.3 Ferner beanstandet der Beschwerdeführer, es sei nicht berücksichtigt worden, dass er Steuerausstände aus den Jahren 2007 bis 2009 habe und diese in Raten abzahle. Die Steuer-schuld betrage insgesamt CHF 18'252.00. Gemäss den Richtlinien der Konferenz der Betreibungs- und Konkursbeamten der Schweiz vom 1. Juli 2009 sind Steuern bei der Berechnung des Notbedarfs nicht zu berücksichtigen. Dieser Grundsatz findet auch in der bundesgerichtlichen Rechtsprechung seine Verankerung (BGE 126 III 89 E. 3 b). Der Grundsatz bezweckt, dass der Fiskus gegenüber anderen Gläubigern nicht bevorzugt werden soll (BSK SchKG-I- Vonder Mühll , Art. 93 SchKG N 33). In Anwendung dieses Grundsatzes hat das Betreibungsamt zu Recht die rückständigen Steuerschulden des Beschwerdeführers nicht berücksichtigt. Die Rüge des Beschwerdeführers stösst deshalb ins Leere. 2.4 Der Beschwerdeführer trägt weiter vor, dass er aufgrund der Verfügung des Friedensrichters, Kreis Rheinfelden, vom 17. Januar 2012 zwölf monatliche Zahlungen in der Höhe von je CHF 300.00 an die B. AG bezahlen müsse. Damit macht der Beschwerdeführer sinngemäss die Berücksichtigung bestehender Schulden geltend. Allerdings dürfen bereits zur Zeit des Pfändungsvollzugs bestehende Schulden bei der Berechnung des Existenzminimums keinesfalls berücksichtigt werden. Es wird damit vermieden, dass nichtbetreibende Gläubiger zulasten der betreibenden Gläubiger bevorzugt werden (BSK SchKG-I- Vonder Mühll , Art. 93 SchKG N 33). Bei der Berechnung des Existenzminimums beachtete das Betreibungsamt richtigerweise die Ausstände des Beschwerdeführers nicht, womit dieser auch in diesem Punkt nicht durchzudringen vermag. 2.5 Schliesslich bringt der Beschwerdeführer vor, ihm sei per Ende Februar 2012 gekündigt worden. Er werde sich bei der Arbeitslosenversicherung anmelden müssen und nur noch 80 % des bisherigen Einkommen erwirtschaften. Demzufolge macht der Beschwerdeführer geltend, gegenüber den Verhältnissen im Zeitpunkt der Pfändung seien Veränderungen eingetreten. Massgebend für die Beurteilung der Einkommensverhältnisse des Schuldners und der Pfändbarkeit seines Erwerbes ist indessen der Zeitpunkt der Pfändung (BGE 102 III 10 E. 4). Ändern sich während der Dauer der Einkommenspfändung die für die Bestimmung des pfändbaren Betrages massgeblichen Verhältnisse hinsichtlich des Existenzminimums oder des Einkommens des Schuldners, so ist die Pfändung durch Erhöhung oder Ermässigung dieses Betrages diesen neuen Verhältnissen anzupassen. Eine solche Revision kann gemäss Art. 93 Abs. 3 SchKG von Amtes wegen oder aufgrund eines Revisionsbegehrens des Gläubigers oder des Schuldners vorgenommen werden. Allerdings ist ein solches Begehren ausschliesslich beim zuständigen Betreibungsamt und nicht bei der Aufsichtbehörde für Schuldbetreibung und Konkurs einzureichen (BGE 108 III 10 E. 4; BSK SchKG-I- Vonder Mühll , Art. 93 SchKG N 54). Dementsprechend kann das Begehren des Beschwerdeführers, wonach sich die massgeblichen Umstände geändert hätten, von der Aufsichtsbehörde nicht behandelt werden. Im Ergebnis vermag der Beschwerdeführer mit keinem seiner Anträge durchzudringen, weshalb die Beschwerde abzuweisen ist.</w:t>
      </w:r>
    </w:p>
    <w:p>
      <w:r>
        <w:rPr>
          <w:b/>
        </w:rPr>
        <w:t>E. 3</w:t>
      </w:r>
    </w:p>
    <w:p>
      <w:r>
        <w:t>Für das vorliegende 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